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0B" w:rsidRDefault="002A7A0B" w:rsidP="002A7A0B">
      <w:pPr>
        <w:ind w:left="4536" w:hanging="4536"/>
        <w:rPr>
          <w:b/>
          <w:u w:val="single"/>
        </w:rPr>
      </w:pPr>
      <w:bookmarkStart w:id="0" w:name="_GoBack"/>
      <w:bookmarkEnd w:id="0"/>
      <w:r w:rsidRPr="002A7A0B">
        <w:rPr>
          <w:noProof/>
          <w:lang w:val="en-GB" w:eastAsia="en-GB"/>
        </w:rPr>
        <w:drawing>
          <wp:inline distT="0" distB="0" distL="0" distR="0">
            <wp:extent cx="2038350" cy="381000"/>
            <wp:effectExtent l="50800" t="25400" r="19050" b="0"/>
            <wp:docPr id="2" name="P 1" descr="5.JPG"/>
            <wp:cNvGraphicFramePr/>
            <a:graphic xmlns:a="http://schemas.openxmlformats.org/drawingml/2006/main">
              <a:graphicData uri="http://schemas.openxmlformats.org/drawingml/2006/picture">
                <pic:pic xmlns:pic="http://schemas.openxmlformats.org/drawingml/2006/picture">
                  <pic:nvPicPr>
                    <pic:cNvPr id="0" name="Picture 3" descr="5.JPG"/>
                    <pic:cNvPicPr>
                      <a:picLocks noChangeAspect="1"/>
                    </pic:cNvPicPr>
                  </pic:nvPicPr>
                  <pic:blipFill>
                    <a:blip r:embed="rId5" cstate="print"/>
                    <a:srcRect/>
                    <a:stretch>
                      <a:fillRect/>
                    </a:stretch>
                  </pic:blipFill>
                  <pic:spPr bwMode="auto">
                    <a:xfrm>
                      <a:off x="0" y="0"/>
                      <a:ext cx="2038350" cy="381000"/>
                    </a:xfrm>
                    <a:prstGeom prst="rect">
                      <a:avLst/>
                    </a:prstGeom>
                    <a:noFill/>
                    <a:ln w="9525">
                      <a:solidFill>
                        <a:schemeClr val="tx1"/>
                      </a:solidFill>
                      <a:miter lim="800000"/>
                      <a:headEnd/>
                      <a:tailEnd/>
                    </a:ln>
                  </pic:spPr>
                </pic:pic>
              </a:graphicData>
            </a:graphic>
          </wp:inline>
        </w:drawing>
      </w:r>
    </w:p>
    <w:p w:rsidR="00F932EC" w:rsidRDefault="00F932EC">
      <w:pPr>
        <w:rPr>
          <w:b/>
          <w:u w:val="single"/>
        </w:rPr>
      </w:pPr>
    </w:p>
    <w:p w:rsidR="00F932EC" w:rsidRDefault="00F932EC">
      <w:pPr>
        <w:rPr>
          <w:b/>
          <w:u w:val="single"/>
        </w:rPr>
      </w:pPr>
    </w:p>
    <w:p w:rsidR="002A7A0B" w:rsidRDefault="002A7A0B">
      <w:pPr>
        <w:rPr>
          <w:b/>
          <w:u w:val="single"/>
        </w:rPr>
      </w:pPr>
    </w:p>
    <w:p w:rsidR="002A7A0B" w:rsidRDefault="00F932EC" w:rsidP="00F932EC">
      <w:pPr>
        <w:ind w:left="709"/>
        <w:rPr>
          <w:b/>
          <w:u w:val="single"/>
        </w:rPr>
      </w:pPr>
      <w:r w:rsidRPr="00F932EC">
        <w:rPr>
          <w:b/>
          <w:noProof/>
          <w:lang w:val="en-GB" w:eastAsia="en-GB"/>
        </w:rPr>
        <mc:AlternateContent>
          <mc:Choice Requires="wps">
            <w:drawing>
              <wp:inline distT="0" distB="0" distL="0" distR="0">
                <wp:extent cx="5270500" cy="946128"/>
                <wp:effectExtent l="0" t="0" r="0" b="0"/>
                <wp:docPr id="205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8915400" cy="1600200"/>
                        </a:xfrm>
                        <a:prstGeom prst="rect">
                          <a:avLst/>
                        </a:prstGeom>
                      </wps:spPr>
                      <wps:txbx>
                        <w:txbxContent>
                          <w:p w:rsidR="002922A7" w:rsidRDefault="002922A7" w:rsidP="002922A7">
                            <w:pPr>
                              <w:pStyle w:val="NormalWeb"/>
                              <w:tabs>
                                <w:tab w:val="center" w:pos="6788"/>
                              </w:tabs>
                              <w:spacing w:before="0" w:beforeAutospacing="0" w:after="0" w:afterAutospacing="0"/>
                            </w:pPr>
                            <w:r>
                              <w:rPr>
                                <w:rFonts w:asciiTheme="majorHAnsi" w:eastAsiaTheme="majorEastAsia" w:hAnsi="Calibri" w:cstheme="majorBidi"/>
                                <w:b/>
                                <w:bCs/>
                                <w:color w:val="F79646" w:themeColor="accent6"/>
                                <w:kern w:val="24"/>
                                <w:sz w:val="89"/>
                                <w:szCs w:val="89"/>
                              </w:rPr>
                              <w:tab/>
                              <w:t>SEVERN SCHOOL OF SURGERY</w:t>
                            </w:r>
                            <w:r>
                              <w:rPr>
                                <w:rFonts w:asciiTheme="majorHAnsi" w:eastAsiaTheme="majorEastAsia" w:hAnsi="Calibri" w:cstheme="majorBidi"/>
                                <w:b/>
                                <w:bCs/>
                                <w:color w:val="FFFF00"/>
                                <w:kern w:val="24"/>
                                <w:sz w:val="80"/>
                                <w:szCs w:val="80"/>
                              </w:rPr>
                              <w:br/>
                            </w:r>
                            <w:r>
                              <w:rPr>
                                <w:rFonts w:asciiTheme="majorHAnsi" w:eastAsiaTheme="majorEastAsia" w:hAnsi="Calibri" w:cstheme="majorBidi"/>
                                <w:b/>
                                <w:bCs/>
                                <w:color w:val="FFFF00"/>
                                <w:kern w:val="24"/>
                                <w:sz w:val="31"/>
                                <w:szCs w:val="31"/>
                              </w:rPr>
                              <w:br/>
                            </w:r>
                            <w:r>
                              <w:rPr>
                                <w:rFonts w:asciiTheme="majorHAnsi" w:eastAsiaTheme="majorEastAsia" w:hAnsi="Calibri" w:cstheme="majorBidi"/>
                                <w:b/>
                                <w:bCs/>
                                <w:color w:val="FFFF00"/>
                                <w:kern w:val="24"/>
                                <w:sz w:val="31"/>
                                <w:szCs w:val="31"/>
                              </w:rPr>
                              <w:tab/>
                            </w:r>
                            <w:r>
                              <w:rPr>
                                <w:rFonts w:asciiTheme="majorHAnsi" w:eastAsiaTheme="majorEastAsia" w:hAnsi="Calibri" w:cstheme="majorBidi"/>
                                <w:b/>
                                <w:bCs/>
                                <w:color w:val="4F81BD" w:themeColor="accent1"/>
                                <w:kern w:val="24"/>
                                <w:sz w:val="56"/>
                                <w:szCs w:val="56"/>
                              </w:rPr>
                              <w:t>Core Trainee Surgical Training Programme</w:t>
                            </w:r>
                            <w:r>
                              <w:rPr>
                                <w:rFonts w:asciiTheme="majorHAnsi" w:eastAsiaTheme="majorEastAsia" w:hAnsi="Calibri" w:cstheme="majorBidi"/>
                                <w:b/>
                                <w:bCs/>
                                <w:color w:val="4F81BD" w:themeColor="accent1"/>
                                <w:kern w:val="24"/>
                                <w:sz w:val="56"/>
                                <w:szCs w:val="56"/>
                              </w:rPr>
                              <w:br/>
                            </w:r>
                            <w:r>
                              <w:rPr>
                                <w:rFonts w:asciiTheme="majorHAnsi" w:eastAsiaTheme="majorEastAsia" w:hAnsi="Calibri" w:cstheme="majorBidi"/>
                                <w:b/>
                                <w:bCs/>
                                <w:color w:val="4F81BD" w:themeColor="accent1"/>
                                <w:kern w:val="24"/>
                                <w:sz w:val="56"/>
                                <w:szCs w:val="56"/>
                              </w:rPr>
                              <w:tab/>
                              <w:t>2010/2011</w:t>
                            </w:r>
                          </w:p>
                        </w:txbxContent>
                      </wps:txbx>
                      <wps:bodyPr vert="horz" lIns="91440" tIns="45720" rIns="91440" bIns="45720" rtlCol="0" anchor="t" anchorCtr="0">
                        <a:normAutofit fontScale="90000"/>
                      </wps:bodyPr>
                    </wps:wsp>
                  </a:graphicData>
                </a:graphic>
              </wp:inline>
            </w:drawing>
          </mc:Choice>
          <mc:Fallback>
            <w:pict>
              <v:rect id="Rectangle 2" o:spid="_x0000_s1026" style="width:41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" filled="f" stroked="f">
                <o:lock v:ext="edit" grouping="t"/>
                <v:textbox>
                  <w:txbxContent>
                    <w:p w:rsidR="002922A7" w:rsidRDefault="002922A7" w:rsidP="002922A7">
                      <w:pPr>
                        <w:pStyle w:val="NormalWeb"/>
                        <w:tabs>
                          <w:tab w:val="center" w:pos="6788"/>
                        </w:tabs>
                        <w:spacing w:before="0" w:beforeAutospacing="0" w:after="0" w:afterAutospacing="0"/>
                      </w:pPr>
                      <w:r>
                        <w:rPr>
                          <w:rFonts w:asciiTheme="majorHAnsi" w:eastAsiaTheme="majorEastAsia" w:hAnsi="Calibri" w:cstheme="majorBidi"/>
                          <w:b/>
                          <w:bCs/>
                          <w:color w:val="F79646" w:themeColor="accent6"/>
                          <w:kern w:val="24"/>
                          <w:sz w:val="89"/>
                          <w:szCs w:val="89"/>
                        </w:rPr>
                        <w:tab/>
                        <w:t>SEVERN SCHOOL OF SURGERY</w:t>
                      </w:r>
                      <w:r>
                        <w:rPr>
                          <w:rFonts w:asciiTheme="majorHAnsi" w:eastAsiaTheme="majorEastAsia" w:hAnsi="Calibri" w:cstheme="majorBidi"/>
                          <w:b/>
                          <w:bCs/>
                          <w:color w:val="FFFF00"/>
                          <w:kern w:val="24"/>
                          <w:sz w:val="80"/>
                          <w:szCs w:val="80"/>
                        </w:rPr>
                        <w:br/>
                      </w:r>
                      <w:r>
                        <w:rPr>
                          <w:rFonts w:asciiTheme="majorHAnsi" w:eastAsiaTheme="majorEastAsia" w:hAnsi="Calibri" w:cstheme="majorBidi"/>
                          <w:b/>
                          <w:bCs/>
                          <w:color w:val="FFFF00"/>
                          <w:kern w:val="24"/>
                          <w:sz w:val="31"/>
                          <w:szCs w:val="31"/>
                        </w:rPr>
                        <w:br/>
                      </w:r>
                      <w:r>
                        <w:rPr>
                          <w:rFonts w:asciiTheme="majorHAnsi" w:eastAsiaTheme="majorEastAsia" w:hAnsi="Calibri" w:cstheme="majorBidi"/>
                          <w:b/>
                          <w:bCs/>
                          <w:color w:val="FFFF00"/>
                          <w:kern w:val="24"/>
                          <w:sz w:val="31"/>
                          <w:szCs w:val="31"/>
                        </w:rPr>
                        <w:tab/>
                      </w:r>
                      <w:r>
                        <w:rPr>
                          <w:rFonts w:asciiTheme="majorHAnsi" w:eastAsiaTheme="majorEastAsia" w:hAnsi="Calibri" w:cstheme="majorBidi"/>
                          <w:b/>
                          <w:bCs/>
                          <w:color w:val="4F81BD" w:themeColor="accent1"/>
                          <w:kern w:val="24"/>
                          <w:sz w:val="56"/>
                          <w:szCs w:val="56"/>
                        </w:rPr>
                        <w:t>Core Trainee Surgical Training Programme</w:t>
                      </w:r>
                      <w:r>
                        <w:rPr>
                          <w:rFonts w:asciiTheme="majorHAnsi" w:eastAsiaTheme="majorEastAsia" w:hAnsi="Calibri" w:cstheme="majorBidi"/>
                          <w:b/>
                          <w:bCs/>
                          <w:color w:val="4F81BD" w:themeColor="accent1"/>
                          <w:kern w:val="24"/>
                          <w:sz w:val="56"/>
                          <w:szCs w:val="56"/>
                        </w:rPr>
                        <w:br/>
                      </w:r>
                      <w:r>
                        <w:rPr>
                          <w:rFonts w:asciiTheme="majorHAnsi" w:eastAsiaTheme="majorEastAsia" w:hAnsi="Calibri" w:cstheme="majorBidi"/>
                          <w:b/>
                          <w:bCs/>
                          <w:color w:val="4F81BD" w:themeColor="accent1"/>
                          <w:kern w:val="24"/>
                          <w:sz w:val="56"/>
                          <w:szCs w:val="56"/>
                        </w:rPr>
                        <w:tab/>
                        <w:t>2010/2011</w:t>
                      </w:r>
                    </w:p>
                  </w:txbxContent>
                </v:textbox>
                <w10:anchorlock/>
              </v:rect>
            </w:pict>
          </mc:Fallback>
        </mc:AlternateContent>
      </w:r>
    </w:p>
    <w:p w:rsidR="002A7A0B" w:rsidRDefault="002A7A0B">
      <w:pPr>
        <w:rPr>
          <w:b/>
          <w:u w:val="single"/>
        </w:rPr>
      </w:pPr>
    </w:p>
    <w:p w:rsidR="002A7A0B" w:rsidRDefault="002A7A0B">
      <w:pPr>
        <w:rPr>
          <w:b/>
          <w:u w:val="single"/>
        </w:rPr>
      </w:pPr>
    </w:p>
    <w:p w:rsidR="002A7A0B" w:rsidRDefault="002A7A0B">
      <w:pPr>
        <w:rPr>
          <w:b/>
          <w:u w:val="single"/>
        </w:rPr>
      </w:pPr>
    </w:p>
    <w:p w:rsidR="002A7A0B" w:rsidRDefault="002A7A0B">
      <w:pPr>
        <w:rPr>
          <w:b/>
          <w:u w:val="single"/>
        </w:rPr>
      </w:pPr>
    </w:p>
    <w:p w:rsidR="002A7A0B" w:rsidRPr="00312470" w:rsidRDefault="00D056AA" w:rsidP="00F932EC">
      <w:pPr>
        <w:tabs>
          <w:tab w:val="center" w:pos="4678"/>
        </w:tabs>
        <w:rPr>
          <w:b/>
          <w:sz w:val="32"/>
          <w:u w:val="single"/>
        </w:rPr>
      </w:pPr>
      <w:r>
        <w:rPr>
          <w:b/>
        </w:rPr>
        <w:tab/>
      </w:r>
      <w:r w:rsidR="00F932EC" w:rsidRPr="00312470">
        <w:rPr>
          <w:b/>
          <w:sz w:val="32"/>
          <w:u w:val="single"/>
        </w:rPr>
        <w:t>ANATOMY AND</w:t>
      </w:r>
      <w:r w:rsidR="00022D23" w:rsidRPr="00312470">
        <w:rPr>
          <w:b/>
          <w:sz w:val="32"/>
          <w:u w:val="single"/>
        </w:rPr>
        <w:t xml:space="preserve"> PHYSIOLOGY</w:t>
      </w:r>
      <w:r w:rsidR="002A7A0B" w:rsidRPr="00312470">
        <w:rPr>
          <w:b/>
          <w:sz w:val="32"/>
          <w:u w:val="single"/>
        </w:rPr>
        <w:t xml:space="preserve"> TEACHING</w:t>
      </w:r>
    </w:p>
    <w:p w:rsidR="009E6091" w:rsidRDefault="009E6091" w:rsidP="00D056AA">
      <w:pPr>
        <w:tabs>
          <w:tab w:val="center" w:pos="4111"/>
        </w:tabs>
        <w:rPr>
          <w:b/>
          <w:u w:val="single"/>
        </w:rPr>
      </w:pPr>
    </w:p>
    <w:p w:rsidR="009E6091" w:rsidRDefault="009E6091" w:rsidP="00D056AA">
      <w:pPr>
        <w:tabs>
          <w:tab w:val="center" w:pos="4111"/>
        </w:tabs>
        <w:rPr>
          <w:b/>
          <w:u w:val="single"/>
        </w:rPr>
      </w:pPr>
    </w:p>
    <w:p w:rsidR="009E6091" w:rsidRDefault="009E6091" w:rsidP="00D056AA">
      <w:pPr>
        <w:tabs>
          <w:tab w:val="center" w:pos="4111"/>
        </w:tabs>
        <w:rPr>
          <w:b/>
          <w:u w:val="single"/>
        </w:rPr>
      </w:pPr>
    </w:p>
    <w:p w:rsidR="002A7A0B" w:rsidRDefault="002A7A0B" w:rsidP="00D056AA">
      <w:pPr>
        <w:tabs>
          <w:tab w:val="center" w:pos="4111"/>
        </w:tabs>
        <w:rPr>
          <w:b/>
          <w:u w:val="single"/>
        </w:rPr>
      </w:pPr>
    </w:p>
    <w:p w:rsidR="00ED69C1" w:rsidRDefault="00ED69C1" w:rsidP="00ED69C1">
      <w:pPr>
        <w:tabs>
          <w:tab w:val="center" w:pos="4111"/>
        </w:tabs>
      </w:pPr>
      <w:r>
        <w:rPr>
          <w:b/>
          <w:u w:val="single"/>
        </w:rPr>
        <w:t>Participants:</w:t>
      </w:r>
      <w:r>
        <w:rPr>
          <w:b/>
        </w:rPr>
        <w:t xml:space="preserve"> </w:t>
      </w:r>
      <w:r w:rsidR="009E6091">
        <w:t>compulsory for all CT1s</w:t>
      </w:r>
      <w:r w:rsidR="006C6AC5">
        <w:t xml:space="preserve"> (including LATs).</w:t>
      </w:r>
    </w:p>
    <w:p w:rsidR="00ED69C1" w:rsidRDefault="00ED69C1" w:rsidP="00ED69C1">
      <w:pPr>
        <w:tabs>
          <w:tab w:val="center" w:pos="4111"/>
        </w:tabs>
      </w:pPr>
    </w:p>
    <w:p w:rsidR="00ED69C1" w:rsidRDefault="00ED69C1" w:rsidP="00ED69C1">
      <w:pPr>
        <w:tabs>
          <w:tab w:val="center" w:pos="4111"/>
        </w:tabs>
      </w:pPr>
      <w:r w:rsidRPr="0042077B">
        <w:rPr>
          <w:b/>
          <w:u w:val="single"/>
        </w:rPr>
        <w:t>Availability:</w:t>
      </w:r>
      <w:r>
        <w:t xml:space="preserve"> Each module for anatomy and physiology is ru</w:t>
      </w:r>
      <w:r w:rsidR="009E6091">
        <w:t>n twice to allow choice for atte</w:t>
      </w:r>
      <w:r>
        <w:t xml:space="preserve">ndance. Please only book one option for each module. Each module only has places for </w:t>
      </w:r>
      <w:r w:rsidR="0042077B">
        <w:t>a maximum of 18 trainees.</w:t>
      </w:r>
    </w:p>
    <w:p w:rsidR="00ED69C1" w:rsidRDefault="00ED69C1" w:rsidP="00ED69C1">
      <w:pPr>
        <w:tabs>
          <w:tab w:val="center" w:pos="4111"/>
        </w:tabs>
      </w:pPr>
    </w:p>
    <w:p w:rsidR="00ED69C1" w:rsidRDefault="00ED69C1" w:rsidP="00ED69C1">
      <w:pPr>
        <w:tabs>
          <w:tab w:val="center" w:pos="4111"/>
        </w:tabs>
      </w:pPr>
      <w:r w:rsidRPr="0042077B">
        <w:rPr>
          <w:b/>
          <w:u w:val="single"/>
        </w:rPr>
        <w:t>Registration:</w:t>
      </w:r>
      <w:r>
        <w:t xml:space="preserve"> On-line at the Severn School of Surgery website </w:t>
      </w:r>
    </w:p>
    <w:p w:rsidR="002A7A0B" w:rsidRDefault="002A7A0B" w:rsidP="00D056AA">
      <w:pPr>
        <w:tabs>
          <w:tab w:val="center" w:pos="4111"/>
        </w:tabs>
        <w:rPr>
          <w:b/>
          <w:u w:val="single"/>
        </w:rPr>
      </w:pPr>
    </w:p>
    <w:p w:rsidR="00ED69C1" w:rsidRDefault="00D056AA" w:rsidP="00D056AA">
      <w:pPr>
        <w:tabs>
          <w:tab w:val="center" w:pos="4111"/>
        </w:tabs>
      </w:pPr>
      <w:r>
        <w:rPr>
          <w:b/>
          <w:u w:val="single"/>
        </w:rPr>
        <w:t>Objective:</w:t>
      </w:r>
      <w:r>
        <w:rPr>
          <w:b/>
        </w:rPr>
        <w:t xml:space="preserve"> </w:t>
      </w:r>
      <w:r w:rsidRPr="00D056AA">
        <w:t>Anatomy a</w:t>
      </w:r>
      <w:r>
        <w:t xml:space="preserve">nd Physiology teaching to support learning for ISCP curriculum and for MRCS examinations. Emphasis is given to </w:t>
      </w:r>
      <w:r w:rsidR="00ED69C1">
        <w:t>continuing professional education rather than ‘coaching’ for the MRCS examinations.</w:t>
      </w:r>
    </w:p>
    <w:p w:rsidR="00ED69C1" w:rsidRDefault="00ED69C1" w:rsidP="00D056AA">
      <w:pPr>
        <w:tabs>
          <w:tab w:val="center" w:pos="4111"/>
        </w:tabs>
      </w:pPr>
    </w:p>
    <w:p w:rsidR="00ED69C1" w:rsidRDefault="00ED69C1" w:rsidP="00D056AA">
      <w:pPr>
        <w:tabs>
          <w:tab w:val="center" w:pos="4111"/>
        </w:tabs>
      </w:pPr>
      <w:r w:rsidRPr="00ED69C1">
        <w:rPr>
          <w:b/>
          <w:u w:val="single"/>
        </w:rPr>
        <w:t>Dates:</w:t>
      </w:r>
      <w:r>
        <w:t xml:space="preserve"> See below. 5 anatomy modules and 4 physiology modules are delivered on Tuesdays and it is advised that CT1s ensure that they combine anatomy and physiology teaching sessions. On the Tuesdays where anatomy and physiology modules are provided, </w:t>
      </w:r>
      <w:r w:rsidR="0042077B">
        <w:t>it is recommended that the whol</w:t>
      </w:r>
      <w:r>
        <w:t>e</w:t>
      </w:r>
      <w:r w:rsidR="0042077B">
        <w:t xml:space="preserve"> </w:t>
      </w:r>
      <w:r>
        <w:t xml:space="preserve">day </w:t>
      </w:r>
      <w:r w:rsidR="00F932EC">
        <w:t>be</w:t>
      </w:r>
      <w:r>
        <w:t xml:space="preserve"> taken as study leave to allow for </w:t>
      </w:r>
      <w:r w:rsidR="00F932EC">
        <w:t>self-study</w:t>
      </w:r>
      <w:r>
        <w:t xml:space="preserve"> and travel in the mornings.</w:t>
      </w:r>
    </w:p>
    <w:p w:rsidR="00ED69C1" w:rsidRDefault="00ED69C1" w:rsidP="00D056AA">
      <w:pPr>
        <w:tabs>
          <w:tab w:val="center" w:pos="4111"/>
        </w:tabs>
      </w:pPr>
    </w:p>
    <w:p w:rsidR="00ED69C1" w:rsidRPr="0042077B" w:rsidRDefault="00ED69C1" w:rsidP="00D056AA">
      <w:pPr>
        <w:tabs>
          <w:tab w:val="center" w:pos="4111"/>
        </w:tabs>
      </w:pPr>
      <w:r w:rsidRPr="00ED69C1">
        <w:rPr>
          <w:b/>
          <w:u w:val="single"/>
        </w:rPr>
        <w:t>Organisation</w:t>
      </w:r>
      <w:r>
        <w:t>: Anatomy and physiology teaching are linked by dates. CT1s are advised to take study leave</w:t>
      </w:r>
      <w:r w:rsidR="0042077B">
        <w:t xml:space="preserve"> for the whole day (except for the anatomy module 3 which is not linked to physiology teaching).</w:t>
      </w:r>
    </w:p>
    <w:p w:rsidR="00ED69C1" w:rsidRDefault="00ED69C1" w:rsidP="00D056AA">
      <w:pPr>
        <w:tabs>
          <w:tab w:val="center" w:pos="4111"/>
        </w:tabs>
        <w:rPr>
          <w:b/>
          <w:u w:val="single"/>
        </w:rPr>
      </w:pPr>
    </w:p>
    <w:p w:rsidR="009E6091" w:rsidRDefault="00ED69C1" w:rsidP="00D056AA">
      <w:pPr>
        <w:tabs>
          <w:tab w:val="center" w:pos="4111"/>
        </w:tabs>
      </w:pPr>
      <w:r>
        <w:rPr>
          <w:b/>
          <w:u w:val="single"/>
        </w:rPr>
        <w:t>Curriculum:</w:t>
      </w:r>
      <w:r>
        <w:t xml:space="preserve"> see </w:t>
      </w:r>
      <w:r w:rsidR="006C6AC5">
        <w:t xml:space="preserve">attached documents for </w:t>
      </w:r>
      <w:r>
        <w:t xml:space="preserve">anatomy </w:t>
      </w:r>
      <w:r w:rsidR="0042077B">
        <w:t>and physiology modules.</w:t>
      </w:r>
    </w:p>
    <w:p w:rsidR="00ED69C1" w:rsidRDefault="00ED69C1" w:rsidP="00D056AA">
      <w:pPr>
        <w:tabs>
          <w:tab w:val="center" w:pos="4111"/>
        </w:tabs>
      </w:pPr>
    </w:p>
    <w:p w:rsidR="009E6091" w:rsidRDefault="009E6091" w:rsidP="00D056AA">
      <w:pPr>
        <w:tabs>
          <w:tab w:val="center" w:pos="4111"/>
        </w:tabs>
      </w:pPr>
      <w:r w:rsidRPr="009E6091">
        <w:rPr>
          <w:b/>
          <w:u w:val="single"/>
        </w:rPr>
        <w:t>Preparation:</w:t>
      </w:r>
      <w:r w:rsidR="006C6AC5">
        <w:t xml:space="preserve"> Trainees are expected to read</w:t>
      </w:r>
      <w:r>
        <w:t xml:space="preserve"> up and study on the module topics before attendance in order to gain maximal educational benefit from the teaching.</w:t>
      </w:r>
    </w:p>
    <w:p w:rsidR="00ED69C1" w:rsidRDefault="00ED69C1" w:rsidP="00D056AA">
      <w:pPr>
        <w:tabs>
          <w:tab w:val="center" w:pos="4111"/>
        </w:tabs>
      </w:pPr>
    </w:p>
    <w:p w:rsidR="0042077B" w:rsidRDefault="00ED69C1" w:rsidP="00D056AA">
      <w:pPr>
        <w:tabs>
          <w:tab w:val="center" w:pos="4111"/>
        </w:tabs>
        <w:rPr>
          <w:b/>
          <w:u w:val="single"/>
        </w:rPr>
      </w:pPr>
      <w:r>
        <w:rPr>
          <w:b/>
          <w:u w:val="single"/>
        </w:rPr>
        <w:t>Dates:</w:t>
      </w:r>
    </w:p>
    <w:p w:rsidR="0042077B" w:rsidRDefault="0042077B" w:rsidP="00D056AA">
      <w:pPr>
        <w:tabs>
          <w:tab w:val="center" w:pos="4111"/>
        </w:tabs>
        <w:rPr>
          <w:b/>
          <w:u w:val="single"/>
        </w:rPr>
      </w:pPr>
    </w:p>
    <w:p w:rsidR="00F932EC" w:rsidRDefault="00F932EC" w:rsidP="00F932EC">
      <w:pPr>
        <w:tabs>
          <w:tab w:val="center" w:pos="4678"/>
        </w:tabs>
        <w:rPr>
          <w:i/>
        </w:rPr>
      </w:pPr>
      <w:r>
        <w:rPr>
          <w:i/>
        </w:rPr>
        <w:lastRenderedPageBreak/>
        <w:tab/>
      </w:r>
      <w:r w:rsidR="0042077B" w:rsidRPr="00312470">
        <w:rPr>
          <w:i/>
          <w:u w:val="single"/>
        </w:rPr>
        <w:t>Anatomy module 1</w:t>
      </w:r>
      <w:r>
        <w:rPr>
          <w:i/>
        </w:rPr>
        <w:t xml:space="preserve"> (Thorax and Spine)</w:t>
      </w:r>
    </w:p>
    <w:p w:rsidR="0042077B" w:rsidRPr="0042077B" w:rsidRDefault="00F932EC" w:rsidP="00F932EC">
      <w:pPr>
        <w:tabs>
          <w:tab w:val="center" w:pos="4678"/>
        </w:tabs>
        <w:rPr>
          <w:i/>
        </w:rPr>
      </w:pPr>
      <w:r>
        <w:rPr>
          <w:i/>
        </w:rPr>
        <w:tab/>
      </w:r>
      <w:r w:rsidR="0042077B" w:rsidRPr="00312470">
        <w:rPr>
          <w:i/>
          <w:u w:val="single"/>
        </w:rPr>
        <w:t>Physiology module 1</w:t>
      </w:r>
      <w:r w:rsidR="0042077B" w:rsidRPr="0042077B">
        <w:rPr>
          <w:i/>
        </w:rPr>
        <w:t xml:space="preserve"> (Applied Physiology and Shock)</w:t>
      </w:r>
    </w:p>
    <w:p w:rsidR="0042077B" w:rsidRPr="00C73A82" w:rsidRDefault="0042077B" w:rsidP="00F932EC">
      <w:pPr>
        <w:tabs>
          <w:tab w:val="center" w:pos="4678"/>
        </w:tabs>
      </w:pPr>
      <w:r>
        <w:tab/>
      </w:r>
      <w:r w:rsidRPr="00C73A82">
        <w:t>Tuesday 18th October</w:t>
      </w:r>
    </w:p>
    <w:p w:rsidR="0042077B" w:rsidRDefault="0042077B" w:rsidP="00F932EC">
      <w:pPr>
        <w:tabs>
          <w:tab w:val="center" w:pos="4678"/>
        </w:tabs>
      </w:pPr>
      <w:r>
        <w:tab/>
        <w:t>Tuesday 1</w:t>
      </w:r>
      <w:r w:rsidRPr="00022D23">
        <w:rPr>
          <w:vertAlign w:val="superscript"/>
        </w:rPr>
        <w:t>st</w:t>
      </w:r>
      <w:r>
        <w:t xml:space="preserve"> November</w:t>
      </w:r>
    </w:p>
    <w:p w:rsidR="0042077B" w:rsidRDefault="0042077B" w:rsidP="00F932EC">
      <w:pPr>
        <w:tabs>
          <w:tab w:val="center" w:pos="4678"/>
        </w:tabs>
      </w:pPr>
    </w:p>
    <w:p w:rsidR="00F932EC" w:rsidRDefault="00F932EC" w:rsidP="00F932EC">
      <w:pPr>
        <w:tabs>
          <w:tab w:val="center" w:pos="4678"/>
        </w:tabs>
        <w:rPr>
          <w:i/>
        </w:rPr>
      </w:pPr>
      <w:r>
        <w:rPr>
          <w:i/>
        </w:rPr>
        <w:tab/>
      </w:r>
      <w:r w:rsidR="0042077B" w:rsidRPr="00312470">
        <w:rPr>
          <w:i/>
          <w:u w:val="single"/>
        </w:rPr>
        <w:t>Anatomy module 2</w:t>
      </w:r>
      <w:r w:rsidR="0042077B" w:rsidRPr="0042077B">
        <w:rPr>
          <w:i/>
        </w:rPr>
        <w:t xml:space="preserve"> </w:t>
      </w:r>
      <w:r>
        <w:rPr>
          <w:i/>
        </w:rPr>
        <w:t>(Abdomen and Pelvis)</w:t>
      </w:r>
    </w:p>
    <w:p w:rsidR="0042077B" w:rsidRPr="0042077B" w:rsidRDefault="00F932EC" w:rsidP="00F932EC">
      <w:pPr>
        <w:tabs>
          <w:tab w:val="center" w:pos="4678"/>
        </w:tabs>
        <w:rPr>
          <w:i/>
        </w:rPr>
      </w:pPr>
      <w:r>
        <w:rPr>
          <w:i/>
        </w:rPr>
        <w:tab/>
      </w:r>
      <w:r w:rsidR="0042077B" w:rsidRPr="0042077B">
        <w:rPr>
          <w:i/>
        </w:rPr>
        <w:t xml:space="preserve"> </w:t>
      </w:r>
      <w:r w:rsidR="0042077B" w:rsidRPr="00312470">
        <w:rPr>
          <w:i/>
          <w:u w:val="single"/>
        </w:rPr>
        <w:t>Physiology</w:t>
      </w:r>
      <w:r>
        <w:rPr>
          <w:i/>
          <w:u w:val="single"/>
        </w:rPr>
        <w:t xml:space="preserve"> module</w:t>
      </w:r>
      <w:r w:rsidR="0042077B" w:rsidRPr="00312470">
        <w:rPr>
          <w:i/>
          <w:u w:val="single"/>
        </w:rPr>
        <w:t xml:space="preserve"> 2</w:t>
      </w:r>
      <w:r w:rsidR="0042077B" w:rsidRPr="0042077B">
        <w:rPr>
          <w:i/>
        </w:rPr>
        <w:t>(Applied Physiology of Hypoxia and Hypercapnia)</w:t>
      </w:r>
    </w:p>
    <w:p w:rsidR="0042077B" w:rsidRDefault="0042077B" w:rsidP="00F932EC">
      <w:pPr>
        <w:tabs>
          <w:tab w:val="center" w:pos="4678"/>
        </w:tabs>
      </w:pPr>
      <w:r>
        <w:tab/>
        <w:t>Tuesday 22</w:t>
      </w:r>
      <w:r w:rsidRPr="00022D23">
        <w:rPr>
          <w:vertAlign w:val="superscript"/>
        </w:rPr>
        <w:t>nd</w:t>
      </w:r>
      <w:r>
        <w:t xml:space="preserve"> November</w:t>
      </w:r>
    </w:p>
    <w:p w:rsidR="0042077B" w:rsidRDefault="0042077B" w:rsidP="00F932EC">
      <w:pPr>
        <w:tabs>
          <w:tab w:val="center" w:pos="4678"/>
        </w:tabs>
      </w:pPr>
      <w:r>
        <w:tab/>
        <w:t>Tuesday 29</w:t>
      </w:r>
      <w:r w:rsidRPr="00022D23">
        <w:rPr>
          <w:vertAlign w:val="superscript"/>
        </w:rPr>
        <w:t>th</w:t>
      </w:r>
      <w:r>
        <w:t xml:space="preserve"> November</w:t>
      </w:r>
    </w:p>
    <w:p w:rsidR="0042077B" w:rsidRDefault="0042077B" w:rsidP="00F932EC">
      <w:pPr>
        <w:tabs>
          <w:tab w:val="center" w:pos="4678"/>
        </w:tabs>
      </w:pPr>
    </w:p>
    <w:p w:rsidR="0042077B" w:rsidRPr="0042077B" w:rsidRDefault="00BB6B77" w:rsidP="00F932EC">
      <w:pPr>
        <w:tabs>
          <w:tab w:val="center" w:pos="4678"/>
        </w:tabs>
        <w:rPr>
          <w:i/>
        </w:rPr>
      </w:pPr>
      <w:r>
        <w:rPr>
          <w:i/>
        </w:rPr>
        <w:tab/>
      </w:r>
      <w:r w:rsidR="0042077B" w:rsidRPr="009E6091">
        <w:rPr>
          <w:i/>
          <w:u w:val="single"/>
        </w:rPr>
        <w:t>Anatomy module 3</w:t>
      </w:r>
      <w:r w:rsidR="0042077B" w:rsidRPr="0042077B">
        <w:rPr>
          <w:i/>
        </w:rPr>
        <w:t xml:space="preserve"> (Upper Limb)</w:t>
      </w:r>
    </w:p>
    <w:p w:rsidR="0042077B" w:rsidRDefault="0042077B" w:rsidP="00F932EC">
      <w:pPr>
        <w:tabs>
          <w:tab w:val="center" w:pos="4678"/>
        </w:tabs>
      </w:pPr>
      <w:r>
        <w:tab/>
        <w:t>Tuesday 6</w:t>
      </w:r>
      <w:r w:rsidRPr="00022D23">
        <w:rPr>
          <w:vertAlign w:val="superscript"/>
        </w:rPr>
        <w:t>th</w:t>
      </w:r>
      <w:r>
        <w:t xml:space="preserve"> December</w:t>
      </w:r>
    </w:p>
    <w:p w:rsidR="0042077B" w:rsidRDefault="0042077B" w:rsidP="00F932EC">
      <w:pPr>
        <w:tabs>
          <w:tab w:val="center" w:pos="4678"/>
        </w:tabs>
      </w:pPr>
      <w:r>
        <w:tab/>
        <w:t>Tuesday 13</w:t>
      </w:r>
      <w:r w:rsidRPr="00022D23">
        <w:rPr>
          <w:vertAlign w:val="superscript"/>
        </w:rPr>
        <w:t>th</w:t>
      </w:r>
      <w:r>
        <w:t xml:space="preserve"> December</w:t>
      </w:r>
    </w:p>
    <w:p w:rsidR="0042077B" w:rsidRPr="008E01BA" w:rsidRDefault="0042077B" w:rsidP="00F932EC">
      <w:pPr>
        <w:tabs>
          <w:tab w:val="center" w:pos="4678"/>
        </w:tabs>
      </w:pPr>
    </w:p>
    <w:p w:rsidR="00F932EC" w:rsidRDefault="00BB6B77" w:rsidP="00F932EC">
      <w:pPr>
        <w:tabs>
          <w:tab w:val="center" w:pos="4678"/>
        </w:tabs>
        <w:rPr>
          <w:i/>
        </w:rPr>
      </w:pPr>
      <w:r>
        <w:rPr>
          <w:i/>
        </w:rPr>
        <w:tab/>
      </w:r>
      <w:r w:rsidR="0042077B" w:rsidRPr="009E6091">
        <w:rPr>
          <w:i/>
          <w:u w:val="single"/>
        </w:rPr>
        <w:t>Anatomy module 4</w:t>
      </w:r>
      <w:r w:rsidR="00F932EC">
        <w:rPr>
          <w:i/>
        </w:rPr>
        <w:t xml:space="preserve"> (Lower Limb)</w:t>
      </w:r>
    </w:p>
    <w:p w:rsidR="0042077B" w:rsidRPr="0042077B" w:rsidRDefault="00F932EC" w:rsidP="00F932EC">
      <w:pPr>
        <w:tabs>
          <w:tab w:val="center" w:pos="4678"/>
        </w:tabs>
        <w:rPr>
          <w:i/>
        </w:rPr>
      </w:pPr>
      <w:r>
        <w:rPr>
          <w:i/>
        </w:rPr>
        <w:tab/>
      </w:r>
      <w:r w:rsidR="0042077B" w:rsidRPr="009E6091">
        <w:rPr>
          <w:i/>
          <w:u w:val="single"/>
        </w:rPr>
        <w:t xml:space="preserve">Physiology </w:t>
      </w:r>
      <w:r>
        <w:rPr>
          <w:i/>
          <w:u w:val="single"/>
        </w:rPr>
        <w:t xml:space="preserve">module </w:t>
      </w:r>
      <w:r w:rsidR="0042077B" w:rsidRPr="009E6091">
        <w:rPr>
          <w:i/>
          <w:u w:val="single"/>
        </w:rPr>
        <w:t>3</w:t>
      </w:r>
      <w:r w:rsidR="0042077B" w:rsidRPr="0042077B">
        <w:rPr>
          <w:i/>
        </w:rPr>
        <w:t xml:space="preserve"> (Regulation </w:t>
      </w:r>
      <w:r>
        <w:rPr>
          <w:i/>
        </w:rPr>
        <w:t>of blood volume and osmolarity)</w:t>
      </w:r>
    </w:p>
    <w:p w:rsidR="0042077B" w:rsidRDefault="0042077B" w:rsidP="00F932EC">
      <w:pPr>
        <w:tabs>
          <w:tab w:val="center" w:pos="4678"/>
        </w:tabs>
      </w:pPr>
      <w:r>
        <w:tab/>
        <w:t>Tuesday 14</w:t>
      </w:r>
      <w:r w:rsidRPr="00022D23">
        <w:rPr>
          <w:vertAlign w:val="superscript"/>
        </w:rPr>
        <w:t>th</w:t>
      </w:r>
      <w:r>
        <w:t xml:space="preserve"> February</w:t>
      </w:r>
    </w:p>
    <w:p w:rsidR="0042077B" w:rsidRDefault="0042077B" w:rsidP="00F932EC">
      <w:pPr>
        <w:tabs>
          <w:tab w:val="center" w:pos="4678"/>
        </w:tabs>
      </w:pPr>
      <w:r>
        <w:tab/>
        <w:t>Tuesday 21</w:t>
      </w:r>
      <w:r w:rsidRPr="00022D23">
        <w:rPr>
          <w:vertAlign w:val="superscript"/>
        </w:rPr>
        <w:t>st</w:t>
      </w:r>
      <w:r>
        <w:t xml:space="preserve"> February</w:t>
      </w:r>
    </w:p>
    <w:p w:rsidR="0042077B" w:rsidRPr="008E01BA" w:rsidRDefault="0042077B" w:rsidP="00F932EC">
      <w:pPr>
        <w:tabs>
          <w:tab w:val="center" w:pos="4678"/>
        </w:tabs>
      </w:pPr>
    </w:p>
    <w:p w:rsidR="00F932EC" w:rsidRDefault="00F932EC" w:rsidP="00F932EC">
      <w:pPr>
        <w:tabs>
          <w:tab w:val="center" w:pos="4678"/>
        </w:tabs>
        <w:rPr>
          <w:i/>
        </w:rPr>
      </w:pPr>
      <w:r>
        <w:rPr>
          <w:i/>
        </w:rPr>
        <w:tab/>
      </w:r>
      <w:r w:rsidR="0042077B" w:rsidRPr="009E6091">
        <w:rPr>
          <w:i/>
          <w:u w:val="single"/>
        </w:rPr>
        <w:t>Anatomy module 5</w:t>
      </w:r>
      <w:r>
        <w:rPr>
          <w:i/>
        </w:rPr>
        <w:t xml:space="preserve"> (Head, Neck and Neuroanatomy)</w:t>
      </w:r>
    </w:p>
    <w:p w:rsidR="0042077B" w:rsidRPr="0042077B" w:rsidRDefault="00F932EC" w:rsidP="00F932EC">
      <w:pPr>
        <w:tabs>
          <w:tab w:val="center" w:pos="4678"/>
        </w:tabs>
        <w:rPr>
          <w:i/>
        </w:rPr>
      </w:pPr>
      <w:r>
        <w:rPr>
          <w:i/>
        </w:rPr>
        <w:tab/>
      </w:r>
      <w:r w:rsidR="0042077B" w:rsidRPr="009E6091">
        <w:rPr>
          <w:i/>
          <w:u w:val="single"/>
        </w:rPr>
        <w:t xml:space="preserve">Physiology </w:t>
      </w:r>
      <w:r>
        <w:rPr>
          <w:i/>
          <w:u w:val="single"/>
        </w:rPr>
        <w:t xml:space="preserve">module </w:t>
      </w:r>
      <w:r w:rsidR="0042077B" w:rsidRPr="009E6091">
        <w:rPr>
          <w:i/>
          <w:u w:val="single"/>
        </w:rPr>
        <w:t>4</w:t>
      </w:r>
      <w:r w:rsidR="0042077B" w:rsidRPr="0042077B">
        <w:rPr>
          <w:i/>
        </w:rPr>
        <w:t xml:space="preserve"> (Pain.  Acid base balance)</w:t>
      </w:r>
    </w:p>
    <w:p w:rsidR="0042077B" w:rsidRDefault="0042077B" w:rsidP="00F932EC">
      <w:pPr>
        <w:tabs>
          <w:tab w:val="center" w:pos="4678"/>
        </w:tabs>
      </w:pPr>
      <w:r>
        <w:tab/>
        <w:t>Tuesday 13</w:t>
      </w:r>
      <w:r w:rsidRPr="00022D23">
        <w:rPr>
          <w:vertAlign w:val="superscript"/>
        </w:rPr>
        <w:t>th</w:t>
      </w:r>
      <w:r>
        <w:t xml:space="preserve"> March</w:t>
      </w:r>
    </w:p>
    <w:p w:rsidR="0042077B" w:rsidRDefault="0042077B" w:rsidP="00F932EC">
      <w:pPr>
        <w:tabs>
          <w:tab w:val="center" w:pos="4678"/>
        </w:tabs>
      </w:pPr>
      <w:r>
        <w:tab/>
        <w:t>Tuesday 20</w:t>
      </w:r>
      <w:r w:rsidRPr="00022D23">
        <w:rPr>
          <w:vertAlign w:val="superscript"/>
        </w:rPr>
        <w:t>th</w:t>
      </w:r>
      <w:r>
        <w:t xml:space="preserve"> March</w:t>
      </w:r>
    </w:p>
    <w:p w:rsidR="0042077B" w:rsidRDefault="0042077B" w:rsidP="00F932EC">
      <w:pPr>
        <w:tabs>
          <w:tab w:val="center" w:pos="4678"/>
        </w:tabs>
      </w:pPr>
    </w:p>
    <w:p w:rsidR="00ED69C1" w:rsidRDefault="00ED69C1" w:rsidP="00F932EC">
      <w:pPr>
        <w:tabs>
          <w:tab w:val="center" w:pos="4678"/>
        </w:tabs>
        <w:rPr>
          <w:b/>
          <w:u w:val="single"/>
        </w:rPr>
      </w:pPr>
    </w:p>
    <w:p w:rsidR="00022D23" w:rsidRPr="00ED69C1" w:rsidRDefault="00ED69C1" w:rsidP="00F932EC">
      <w:pPr>
        <w:tabs>
          <w:tab w:val="center" w:pos="4678"/>
        </w:tabs>
        <w:rPr>
          <w:b/>
          <w:u w:val="single"/>
        </w:rPr>
      </w:pPr>
      <w:r>
        <w:rPr>
          <w:b/>
          <w:u w:val="single"/>
        </w:rPr>
        <w:t>Venue:</w:t>
      </w:r>
    </w:p>
    <w:p w:rsidR="00ED69C1" w:rsidRPr="009E6091" w:rsidRDefault="0042077B" w:rsidP="00F932EC">
      <w:pPr>
        <w:tabs>
          <w:tab w:val="center" w:pos="4678"/>
        </w:tabs>
        <w:rPr>
          <w:b/>
          <w:i/>
          <w:u w:val="single"/>
        </w:rPr>
      </w:pPr>
      <w:r>
        <w:rPr>
          <w:i/>
        </w:rPr>
        <w:tab/>
      </w:r>
      <w:r w:rsidRPr="009E6091">
        <w:rPr>
          <w:i/>
          <w:u w:val="single"/>
        </w:rPr>
        <w:t>Physiology</w:t>
      </w:r>
    </w:p>
    <w:p w:rsidR="00F932EC" w:rsidRDefault="00C73A82" w:rsidP="00F932EC">
      <w:pPr>
        <w:tabs>
          <w:tab w:val="center" w:pos="4678"/>
        </w:tabs>
        <w:rPr>
          <w:rFonts w:cs="Arial"/>
          <w:szCs w:val="26"/>
        </w:rPr>
      </w:pPr>
      <w:r w:rsidRPr="00C73A82">
        <w:rPr>
          <w:rFonts w:cs="Arial"/>
          <w:szCs w:val="26"/>
        </w:rPr>
        <w:t>Applied and Integrated Medical Sciences Centre for Excellence in Teaching and Learning,</w:t>
      </w:r>
      <w:r w:rsidRPr="00C73A82">
        <w:rPr>
          <w:rFonts w:cs="Arial"/>
          <w:szCs w:val="26"/>
          <w:u w:val="single"/>
        </w:rPr>
        <w:t xml:space="preserve"> </w:t>
      </w:r>
      <w:r w:rsidR="00F932EC">
        <w:rPr>
          <w:rFonts w:cs="Arial"/>
          <w:szCs w:val="26"/>
        </w:rPr>
        <w:t>University of Bristol,</w:t>
      </w:r>
    </w:p>
    <w:p w:rsidR="00F932EC" w:rsidRDefault="00F932EC" w:rsidP="00F932EC">
      <w:pPr>
        <w:tabs>
          <w:tab w:val="center" w:pos="4678"/>
        </w:tabs>
        <w:rPr>
          <w:rFonts w:cs="Arial"/>
          <w:szCs w:val="26"/>
        </w:rPr>
      </w:pPr>
      <w:r>
        <w:rPr>
          <w:rFonts w:cs="Arial"/>
          <w:szCs w:val="26"/>
        </w:rPr>
        <w:t>School of Medical Sciences,</w:t>
      </w:r>
    </w:p>
    <w:p w:rsidR="00F932EC" w:rsidRDefault="00F932EC" w:rsidP="00F932EC">
      <w:pPr>
        <w:tabs>
          <w:tab w:val="center" w:pos="4678"/>
        </w:tabs>
        <w:rPr>
          <w:rFonts w:cs="Arial"/>
          <w:szCs w:val="26"/>
        </w:rPr>
      </w:pPr>
      <w:r>
        <w:rPr>
          <w:rFonts w:cs="Arial"/>
          <w:szCs w:val="26"/>
        </w:rPr>
        <w:t>University Walk,</w:t>
      </w:r>
    </w:p>
    <w:p w:rsidR="00F932EC" w:rsidRDefault="00C73A82" w:rsidP="00F932EC">
      <w:pPr>
        <w:tabs>
          <w:tab w:val="center" w:pos="4678"/>
        </w:tabs>
        <w:rPr>
          <w:rFonts w:cs="Arial"/>
          <w:szCs w:val="26"/>
        </w:rPr>
      </w:pPr>
      <w:r w:rsidRPr="00C73A82">
        <w:rPr>
          <w:rFonts w:cs="Arial"/>
          <w:szCs w:val="26"/>
        </w:rPr>
        <w:t>Bristol</w:t>
      </w:r>
      <w:r w:rsidR="00F932EC">
        <w:rPr>
          <w:rFonts w:cs="Arial"/>
          <w:szCs w:val="26"/>
        </w:rPr>
        <w:t>,</w:t>
      </w:r>
    </w:p>
    <w:p w:rsidR="00C73A82" w:rsidRPr="00C73A82" w:rsidRDefault="00C73A82" w:rsidP="00F932EC">
      <w:pPr>
        <w:tabs>
          <w:tab w:val="center" w:pos="4678"/>
        </w:tabs>
      </w:pPr>
      <w:r w:rsidRPr="00C73A82">
        <w:rPr>
          <w:rFonts w:cs="Arial"/>
          <w:szCs w:val="26"/>
        </w:rPr>
        <w:t>BS8 1TD,</w:t>
      </w:r>
    </w:p>
    <w:p w:rsidR="00C73A82" w:rsidRPr="00C73A82" w:rsidRDefault="00C73A82" w:rsidP="00F932EC">
      <w:pPr>
        <w:tabs>
          <w:tab w:val="center" w:pos="4678"/>
        </w:tabs>
      </w:pPr>
      <w:r w:rsidRPr="00C73A82">
        <w:t xml:space="preserve"> </w:t>
      </w:r>
      <w:hyperlink r:id="rId6" w:anchor="howtofind" w:history="1">
        <w:r w:rsidRPr="00C73A82">
          <w:rPr>
            <w:rStyle w:val="Hyperlink"/>
          </w:rPr>
          <w:t>http://www.bris.ac.uk/cetl/aims/seminarcente/#howtofind</w:t>
        </w:r>
      </w:hyperlink>
    </w:p>
    <w:p w:rsidR="00C73A82" w:rsidRPr="00C73A82" w:rsidRDefault="00C73A82" w:rsidP="00F932EC">
      <w:pPr>
        <w:tabs>
          <w:tab w:val="center" w:pos="4678"/>
        </w:tabs>
      </w:pPr>
    </w:p>
    <w:p w:rsidR="00C73A82" w:rsidRPr="009E6091" w:rsidRDefault="0042077B" w:rsidP="00F932EC">
      <w:pPr>
        <w:tabs>
          <w:tab w:val="center" w:pos="4678"/>
        </w:tabs>
        <w:rPr>
          <w:i/>
          <w:u w:val="single"/>
        </w:rPr>
      </w:pPr>
      <w:r>
        <w:tab/>
      </w:r>
      <w:r w:rsidRPr="009E6091">
        <w:rPr>
          <w:i/>
          <w:u w:val="single"/>
        </w:rPr>
        <w:t>Anatomy</w:t>
      </w:r>
    </w:p>
    <w:p w:rsidR="00F932EC" w:rsidRDefault="00BB6B77" w:rsidP="00F932EC">
      <w:pPr>
        <w:tabs>
          <w:tab w:val="center" w:pos="4678"/>
        </w:tabs>
        <w:rPr>
          <w:rFonts w:cs="Arial"/>
          <w:szCs w:val="32"/>
        </w:rPr>
      </w:pPr>
      <w:r>
        <w:rPr>
          <w:rFonts w:cs="Arial"/>
          <w:szCs w:val="32"/>
        </w:rPr>
        <w:t>Cent</w:t>
      </w:r>
      <w:r w:rsidRPr="00BB6B77">
        <w:rPr>
          <w:rFonts w:cs="Arial"/>
          <w:szCs w:val="32"/>
        </w:rPr>
        <w:t>re for Cl</w:t>
      </w:r>
      <w:r w:rsidR="00F932EC">
        <w:rPr>
          <w:rFonts w:cs="Arial"/>
          <w:szCs w:val="32"/>
        </w:rPr>
        <w:t>inical and Comparative Anatomy,</w:t>
      </w:r>
    </w:p>
    <w:p w:rsidR="00F932EC" w:rsidRDefault="00F932EC" w:rsidP="00F932EC">
      <w:pPr>
        <w:tabs>
          <w:tab w:val="center" w:pos="4678"/>
        </w:tabs>
        <w:rPr>
          <w:rFonts w:cs="Arial"/>
          <w:szCs w:val="32"/>
        </w:rPr>
      </w:pPr>
      <w:r>
        <w:rPr>
          <w:rFonts w:cs="Arial"/>
          <w:szCs w:val="32"/>
        </w:rPr>
        <w:t>University of Bristol,</w:t>
      </w:r>
    </w:p>
    <w:p w:rsidR="00F932EC" w:rsidRDefault="00F932EC" w:rsidP="00F932EC">
      <w:pPr>
        <w:tabs>
          <w:tab w:val="center" w:pos="4678"/>
        </w:tabs>
        <w:rPr>
          <w:rFonts w:cs="Arial"/>
          <w:szCs w:val="32"/>
        </w:rPr>
      </w:pPr>
      <w:r>
        <w:rPr>
          <w:rFonts w:cs="Arial"/>
          <w:szCs w:val="32"/>
        </w:rPr>
        <w:t>Southwell Street,</w:t>
      </w:r>
    </w:p>
    <w:p w:rsidR="00F932EC" w:rsidRDefault="00BB6B77" w:rsidP="00F932EC">
      <w:pPr>
        <w:tabs>
          <w:tab w:val="center" w:pos="4678"/>
        </w:tabs>
        <w:rPr>
          <w:rFonts w:cs="Arial"/>
          <w:szCs w:val="32"/>
        </w:rPr>
      </w:pPr>
      <w:r w:rsidRPr="00BB6B77">
        <w:rPr>
          <w:rFonts w:cs="Arial"/>
          <w:szCs w:val="32"/>
        </w:rPr>
        <w:t xml:space="preserve">Bristol, </w:t>
      </w:r>
    </w:p>
    <w:p w:rsidR="00BB6B77" w:rsidRDefault="00BB6B77" w:rsidP="00F932EC">
      <w:pPr>
        <w:tabs>
          <w:tab w:val="center" w:pos="4678"/>
        </w:tabs>
        <w:rPr>
          <w:rFonts w:cs="Arial"/>
          <w:szCs w:val="32"/>
        </w:rPr>
      </w:pPr>
      <w:r w:rsidRPr="00BB6B77">
        <w:rPr>
          <w:rFonts w:cs="Arial"/>
          <w:szCs w:val="32"/>
        </w:rPr>
        <w:t>BS2 8EJ</w:t>
      </w:r>
    </w:p>
    <w:p w:rsidR="00BB6B77" w:rsidRDefault="002922A7" w:rsidP="00F932EC">
      <w:pPr>
        <w:tabs>
          <w:tab w:val="center" w:pos="4678"/>
        </w:tabs>
        <w:rPr>
          <w:rFonts w:cs="Arial"/>
          <w:szCs w:val="32"/>
        </w:rPr>
      </w:pPr>
      <w:hyperlink r:id="rId7" w:history="1">
        <w:r w:rsidR="00BB6B77" w:rsidRPr="00BB6B77">
          <w:rPr>
            <w:rStyle w:val="Hyperlink"/>
            <w:rFonts w:cs="Arial"/>
            <w:szCs w:val="32"/>
          </w:rPr>
          <w:t>http://www.bristol.ac.uk/anatomy/images/close.gif</w:t>
        </w:r>
      </w:hyperlink>
    </w:p>
    <w:p w:rsidR="00BB6B77" w:rsidRDefault="00BB6B77" w:rsidP="00D056AA">
      <w:pPr>
        <w:tabs>
          <w:tab w:val="center" w:pos="4111"/>
        </w:tabs>
        <w:rPr>
          <w:rFonts w:cs="Arial"/>
          <w:szCs w:val="32"/>
        </w:rPr>
      </w:pPr>
    </w:p>
    <w:p w:rsidR="009E6091" w:rsidRPr="00BB6B77" w:rsidRDefault="00805782" w:rsidP="00D056AA">
      <w:pPr>
        <w:tabs>
          <w:tab w:val="center" w:pos="4111"/>
        </w:tabs>
      </w:pPr>
      <w:r w:rsidRPr="00805782">
        <w:rPr>
          <w:b/>
          <w:u w:val="single"/>
        </w:rPr>
        <w:t>Refreshments:</w:t>
      </w:r>
      <w:r>
        <w:t xml:space="preserve"> Core trainees are advised to bring their own refreshments or to make their own arrangements for food and refreshments during the 30-minute gap between physiology and anatomy modules on Tuesdays at 5pm. There are numerous cafes and sandwich shops in the vicinity that are easily accessible during the short walk from the physiology venue to the anatomy venues.</w:t>
      </w:r>
    </w:p>
    <w:p w:rsidR="00BB6B77" w:rsidRDefault="009E6091" w:rsidP="00D056AA">
      <w:pPr>
        <w:tabs>
          <w:tab w:val="center" w:pos="4111"/>
        </w:tabs>
      </w:pPr>
      <w:r w:rsidRPr="00BB6B77">
        <w:rPr>
          <w:b/>
          <w:u w:val="single"/>
        </w:rPr>
        <w:t>Travel:</w:t>
      </w:r>
      <w:r>
        <w:t xml:space="preserve"> No car-parking arrangements are available at the University of Bristol and surrounding areas are for </w:t>
      </w:r>
      <w:r w:rsidR="00F932EC">
        <w:t>‘residents-</w:t>
      </w:r>
      <w:r>
        <w:t>only</w:t>
      </w:r>
      <w:r w:rsidR="00F932EC">
        <w:t>’</w:t>
      </w:r>
      <w:r>
        <w:t>. There are NCP car parks available 10-15 minutes away by foot. Good bus and train links are a</w:t>
      </w:r>
      <w:r w:rsidR="00BB6B77">
        <w:t xml:space="preserve">vailable to Bristol and the </w:t>
      </w:r>
      <w:r>
        <w:t>University. Trainees are advised to plan their travel and if com</w:t>
      </w:r>
      <w:r w:rsidR="00BB6B77">
        <w:t xml:space="preserve">ing by car are advised to </w:t>
      </w:r>
      <w:r>
        <w:t>offer</w:t>
      </w:r>
      <w:r w:rsidR="00BB6B77">
        <w:t xml:space="preserve"> a lift to colleagues</w:t>
      </w:r>
      <w:r>
        <w:t>.</w:t>
      </w:r>
      <w:r w:rsidR="00BB6B77">
        <w:t xml:space="preserve"> </w:t>
      </w:r>
      <w:hyperlink r:id="rId8" w:history="1">
        <w:r w:rsidR="00BB6B77" w:rsidRPr="00BB6B77">
          <w:rPr>
            <w:rStyle w:val="Hyperlink"/>
          </w:rPr>
          <w:t>http://www.bristol.ac.uk/transportplan/transport/</w:t>
        </w:r>
      </w:hyperlink>
    </w:p>
    <w:p w:rsidR="009E6091" w:rsidRDefault="009E6091" w:rsidP="00D056AA">
      <w:pPr>
        <w:tabs>
          <w:tab w:val="center" w:pos="4111"/>
        </w:tabs>
      </w:pPr>
    </w:p>
    <w:p w:rsidR="009E6091" w:rsidRDefault="009E6091" w:rsidP="00D056AA">
      <w:pPr>
        <w:tabs>
          <w:tab w:val="center" w:pos="4111"/>
        </w:tabs>
      </w:pPr>
      <w:r w:rsidRPr="009E6091">
        <w:rPr>
          <w:b/>
          <w:u w:val="single"/>
        </w:rPr>
        <w:t>Attendance outcomes:</w:t>
      </w:r>
      <w:r>
        <w:t xml:space="preserve"> A record of attendance will be kept by th</w:t>
      </w:r>
      <w:r w:rsidR="00F932EC">
        <w:t>e Deanery. Attendance details are provided to your</w:t>
      </w:r>
      <w:r>
        <w:t xml:space="preserve"> Programme Directors and will be assessed at the yearly ARCPs. Certificates will be provided for each module to trainees, who attend, for their portfolio.</w:t>
      </w:r>
    </w:p>
    <w:p w:rsidR="009E6091" w:rsidRDefault="009E6091" w:rsidP="00D056AA">
      <w:pPr>
        <w:tabs>
          <w:tab w:val="center" w:pos="4111"/>
        </w:tabs>
      </w:pPr>
    </w:p>
    <w:p w:rsidR="009E6091" w:rsidRDefault="00805782" w:rsidP="00D056AA">
      <w:pPr>
        <w:tabs>
          <w:tab w:val="center" w:pos="4111"/>
        </w:tabs>
      </w:pPr>
      <w:r>
        <w:rPr>
          <w:b/>
          <w:u w:val="single"/>
        </w:rPr>
        <w:t>Trainee f</w:t>
      </w:r>
      <w:r w:rsidR="009E6091" w:rsidRPr="009E6091">
        <w:rPr>
          <w:b/>
          <w:u w:val="single"/>
        </w:rPr>
        <w:t>eedback:</w:t>
      </w:r>
      <w:r w:rsidR="009E6091">
        <w:t xml:space="preserve"> Trainees will be asked to provide anonymised feedback on each module.</w:t>
      </w:r>
      <w:r>
        <w:t xml:space="preserve"> This is important for the School of Surgery to ensure that the standards of delivery and content of the teaching is maximized for Severn School of Surgery core trainees in the future.</w:t>
      </w:r>
    </w:p>
    <w:p w:rsidR="009E6091" w:rsidRPr="00F932EC" w:rsidRDefault="009E6091" w:rsidP="00D056AA">
      <w:pPr>
        <w:tabs>
          <w:tab w:val="center" w:pos="4111"/>
        </w:tabs>
      </w:pPr>
    </w:p>
    <w:p w:rsidR="00022D23" w:rsidRPr="00C73A82" w:rsidRDefault="009E6091" w:rsidP="00D056AA">
      <w:pPr>
        <w:tabs>
          <w:tab w:val="center" w:pos="4111"/>
        </w:tabs>
      </w:pPr>
      <w:r w:rsidRPr="00F932EC">
        <w:rPr>
          <w:b/>
          <w:u w:val="single"/>
        </w:rPr>
        <w:t>Non-attendance:</w:t>
      </w:r>
      <w:r w:rsidRPr="00F932EC">
        <w:t xml:space="preserve"> Failure to attend a module requires a trainee to complete an explanation form which is available on-line at the School website and is returnable to Chad Elliott </w:t>
      </w:r>
      <w:r w:rsidR="00F932EC" w:rsidRPr="00F932EC">
        <w:t>(</w:t>
      </w:r>
      <w:hyperlink r:id="rId9" w:history="1">
        <w:r w:rsidR="00F932EC" w:rsidRPr="00F932EC">
          <w:rPr>
            <w:rStyle w:val="Hyperlink"/>
          </w:rPr>
          <w:t>Chad.Elliott@southwest.nhs.uk</w:t>
        </w:r>
      </w:hyperlink>
      <w:r w:rsidR="00F932EC" w:rsidRPr="00F932EC">
        <w:rPr>
          <w:color w:val="000000"/>
        </w:rPr>
        <w:t xml:space="preserve">) </w:t>
      </w:r>
      <w:r w:rsidRPr="00F932EC">
        <w:t>at</w:t>
      </w:r>
      <w:r>
        <w:t xml:space="preserve"> the School of Surgery.</w:t>
      </w:r>
    </w:p>
    <w:sectPr w:rsidR="00022D23" w:rsidRPr="00C73A82" w:rsidSect="00F932EC">
      <w:pgSz w:w="11900" w:h="16840"/>
      <w:pgMar w:top="1440" w:right="1127"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23"/>
    <w:rsid w:val="00022D23"/>
    <w:rsid w:val="002922A7"/>
    <w:rsid w:val="002A7A0B"/>
    <w:rsid w:val="00312470"/>
    <w:rsid w:val="0042077B"/>
    <w:rsid w:val="005E4603"/>
    <w:rsid w:val="006C6AC5"/>
    <w:rsid w:val="00805782"/>
    <w:rsid w:val="008E01BA"/>
    <w:rsid w:val="009E6091"/>
    <w:rsid w:val="00BB6B77"/>
    <w:rsid w:val="00C73A82"/>
    <w:rsid w:val="00D056AA"/>
    <w:rsid w:val="00D069D6"/>
    <w:rsid w:val="00DE2BD2"/>
    <w:rsid w:val="00ED69C1"/>
    <w:rsid w:val="00F932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C6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A82"/>
    <w:rPr>
      <w:color w:val="0000FF"/>
      <w:u w:val="single"/>
    </w:rPr>
  </w:style>
  <w:style w:type="character" w:styleId="FollowedHyperlink">
    <w:name w:val="FollowedHyperlink"/>
    <w:basedOn w:val="DefaultParagraphFont"/>
    <w:rsid w:val="00BB6B77"/>
    <w:rPr>
      <w:color w:val="800080" w:themeColor="followedHyperlink"/>
      <w:u w:val="single"/>
    </w:rPr>
  </w:style>
  <w:style w:type="paragraph" w:styleId="BalloonText">
    <w:name w:val="Balloon Text"/>
    <w:basedOn w:val="Normal"/>
    <w:link w:val="BalloonTextChar"/>
    <w:rsid w:val="00DE2BD2"/>
    <w:rPr>
      <w:rFonts w:ascii="Tahoma" w:hAnsi="Tahoma" w:cs="Tahoma"/>
      <w:sz w:val="16"/>
      <w:szCs w:val="16"/>
    </w:rPr>
  </w:style>
  <w:style w:type="character" w:customStyle="1" w:styleId="BalloonTextChar">
    <w:name w:val="Balloon Text Char"/>
    <w:basedOn w:val="DefaultParagraphFont"/>
    <w:link w:val="BalloonText"/>
    <w:rsid w:val="00DE2BD2"/>
    <w:rPr>
      <w:rFonts w:ascii="Tahoma" w:hAnsi="Tahoma" w:cs="Tahoma"/>
      <w:sz w:val="16"/>
      <w:szCs w:val="16"/>
    </w:rPr>
  </w:style>
  <w:style w:type="paragraph" w:styleId="NormalWeb">
    <w:name w:val="Normal (Web)"/>
    <w:basedOn w:val="Normal"/>
    <w:uiPriority w:val="99"/>
    <w:unhideWhenUsed/>
    <w:rsid w:val="002922A7"/>
    <w:pPr>
      <w:spacing w:before="100" w:beforeAutospacing="1" w:after="100" w:afterAutospacing="1"/>
    </w:pPr>
    <w:rPr>
      <w:rFonts w:ascii="Times New Roman" w:eastAsiaTheme="minorEastAsia"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C6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A82"/>
    <w:rPr>
      <w:color w:val="0000FF"/>
      <w:u w:val="single"/>
    </w:rPr>
  </w:style>
  <w:style w:type="character" w:styleId="FollowedHyperlink">
    <w:name w:val="FollowedHyperlink"/>
    <w:basedOn w:val="DefaultParagraphFont"/>
    <w:rsid w:val="00BB6B77"/>
    <w:rPr>
      <w:color w:val="800080" w:themeColor="followedHyperlink"/>
      <w:u w:val="single"/>
    </w:rPr>
  </w:style>
  <w:style w:type="paragraph" w:styleId="BalloonText">
    <w:name w:val="Balloon Text"/>
    <w:basedOn w:val="Normal"/>
    <w:link w:val="BalloonTextChar"/>
    <w:rsid w:val="00DE2BD2"/>
    <w:rPr>
      <w:rFonts w:ascii="Tahoma" w:hAnsi="Tahoma" w:cs="Tahoma"/>
      <w:sz w:val="16"/>
      <w:szCs w:val="16"/>
    </w:rPr>
  </w:style>
  <w:style w:type="character" w:customStyle="1" w:styleId="BalloonTextChar">
    <w:name w:val="Balloon Text Char"/>
    <w:basedOn w:val="DefaultParagraphFont"/>
    <w:link w:val="BalloonText"/>
    <w:rsid w:val="00DE2BD2"/>
    <w:rPr>
      <w:rFonts w:ascii="Tahoma" w:hAnsi="Tahoma" w:cs="Tahoma"/>
      <w:sz w:val="16"/>
      <w:szCs w:val="16"/>
    </w:rPr>
  </w:style>
  <w:style w:type="paragraph" w:styleId="NormalWeb">
    <w:name w:val="Normal (Web)"/>
    <w:basedOn w:val="Normal"/>
    <w:uiPriority w:val="99"/>
    <w:unhideWhenUsed/>
    <w:rsid w:val="002922A7"/>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transportplan/transport/" TargetMode="External"/><Relationship Id="rId3" Type="http://schemas.openxmlformats.org/officeDocument/2006/relationships/settings" Target="settings.xml"/><Relationship Id="rId7" Type="http://schemas.openxmlformats.org/officeDocument/2006/relationships/hyperlink" Target="http://www.bristol.ac.uk/anatomy/images/close.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s.ac.uk/cetl/aims/seminarcen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d.Elliott@southwes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3643</Characters>
  <Application>Microsoft Office Word</Application>
  <DocSecurity>0</DocSecurity>
  <Lines>30</Lines>
  <Paragraphs>8</Paragraphs>
  <ScaleCrop>false</ScaleCrop>
  <Company>Personal</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Longman</dc:creator>
  <cp:keywords/>
  <cp:lastModifiedBy>Horton Andrew (NHS South West)</cp:lastModifiedBy>
  <cp:revision>2</cp:revision>
  <dcterms:created xsi:type="dcterms:W3CDTF">2011-11-22T16:41:00Z</dcterms:created>
  <dcterms:modified xsi:type="dcterms:W3CDTF">2011-11-22T16:41:00Z</dcterms:modified>
</cp:coreProperties>
</file>